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29E2" w14:textId="77777777" w:rsidR="009A7ADF" w:rsidRDefault="00835236">
      <w:r>
        <w:rPr>
          <w:b/>
        </w:rPr>
        <w:t>Die Rolle von Innovationen in der Gastronomie: Chancen und Herausforderungen</w:t>
      </w:r>
    </w:p>
    <w:p w14:paraId="32B596CC" w14:textId="77777777" w:rsidR="009A7ADF" w:rsidRDefault="00835236">
      <w:r>
        <w:t>Die moderne Gastronomiewelt hat sich in den vergangenen Jahren rasant gewandelt. Fortschrittliche Methoden bei der Zubereitung und Präsentation von Speisen gelten längst nicht mehr als bloße Spielereien, sondern als entscheidende Erfolgsfaktoren für langfristiges Wachstum. Neuartige Garverfahren und ungewöhnliche Geschmackskombinationen sind weitgehend unverzichtbar, um die steigenden Erwartungen an Qualität, Vielfalt und Nachhaltigkeit zu erfüllen. Gleichzeitig grenzt dieser Innovationsdrang an ein Spannungsfeld zwischen traditionellen Werten und der Furcht, kulinarische Ursprünge zu verwässern. Die nachfolgenden Ausführungen beleuchten, welche Chancen sich durch frischen Erfindergeist in der Gastronomie eröffnen und worin spezifische Stolpersteine liegen können.</w:t>
      </w:r>
    </w:p>
    <w:p w14:paraId="7B66E5D3" w14:textId="77777777" w:rsidR="009A7ADF" w:rsidRDefault="00835236">
      <w:r>
        <w:rPr>
          <w:b/>
        </w:rPr>
        <w:t>Innovationsfähigkeit als Motor der Gastronomie</w:t>
      </w:r>
    </w:p>
    <w:p w14:paraId="358BC810" w14:textId="2E0EBF23" w:rsidR="009A7ADF" w:rsidRDefault="00835236">
      <w:r>
        <w:t xml:space="preserve">In vielen Teilen Europas erlebt die Gastronomie ein bemerkenswertes Wiederaufleben, das jedoch keineswegs auf einfache Trends reduziert werden sollte. Der Blick auf die österreichische Gastrolandschaft offenbart zum Beispiel eine enge Verknüpfung von lokaler Kulinarik mit gesundheitsbewussten, zeitgemäßen Konzepten. Vielerorts lässt sich beobachten, wie Gasträume neue Gästeschichten ansprechen, ohne das klassische Angebot völlig zu vernachlässigen. Der kreative Drang zeigt sich im </w:t>
      </w:r>
      <w:hyperlink r:id="rId4">
        <w:r w:rsidR="009A7ADF">
          <w:rPr>
            <w:color w:val="0000FF"/>
            <w:u w:val="single"/>
          </w:rPr>
          <w:t>Aufschwung in der österreichischen Gastronomie</w:t>
        </w:r>
      </w:hyperlink>
      <w:r>
        <w:t xml:space="preserve"> und bringt neue Zielgruppen sowie mehr Diversität im Speiseangebot hervor. Gerade in kleineren Städten entfalten sich neue Micro-Food-Konzepte, die sich auf lokale </w:t>
      </w:r>
      <w:proofErr w:type="spellStart"/>
      <w:r>
        <w:t>Ingredients</w:t>
      </w:r>
      <w:proofErr w:type="spellEnd"/>
      <w:r>
        <w:t xml:space="preserve"> und kurze Lieferketten berufen. Oftmals sind diese vielseitigen Ansätze derart erfolgreich, dass altbekannte Fast-Food-Ketten zunehmend vor der Herausforderung stehen, sich an veränderte Ernährungsgewohnheiten anzupassen.</w:t>
      </w:r>
    </w:p>
    <w:p w14:paraId="4E86E3C1" w14:textId="77777777" w:rsidR="009A7ADF" w:rsidRDefault="00835236">
      <w:r>
        <w:rPr>
          <w:b/>
        </w:rPr>
        <w:t>Kundenorientierte Neuerungen und ihre Erfolgsfaktoren</w:t>
      </w:r>
    </w:p>
    <w:p w14:paraId="27DC4A11" w14:textId="044F7B0C" w:rsidR="009A7ADF" w:rsidRDefault="00835236">
      <w:r>
        <w:t>Dort, wo das innovative Potenzial besonders deutlich zum Tragen kommt, zeigen sich meist jene Betriebe, die sich stringent an den Interessen ihrer Kundschaft orientieren. Es geht nicht allein um kulinarische Vielfältigkeit, sondern ebenso um das Zusammenspiel von Servicequalität, Markenidentität und Erlebnischarakter. Wer beispielsweise sein Speisenangebot mit kreativen Konzepten anreichert und gleichzeitig auf moderne Ernährungsformen (wie etwa Low-</w:t>
      </w:r>
      <w:proofErr w:type="spellStart"/>
      <w:r>
        <w:t>Carb</w:t>
      </w:r>
      <w:proofErr w:type="spellEnd"/>
      <w:r>
        <w:t xml:space="preserve"> oder vegane Alternativen) setzt, verschafft sich häufig einen klaren Wettbewerbsvorteil. Neue Impulse können ferner von Portalen stammen, die sich auf Erfolgsgeschichten und Strategien unterschiedlicher Unternehmen fokussieren. Ein exemplarisches Beispiel dafür bietet</w:t>
      </w:r>
      <w:r w:rsidR="00733A29">
        <w:t xml:space="preserve"> beispielsweise erfolg.com</w:t>
      </w:r>
      <w:r>
        <w:t xml:space="preserve">, wo der </w:t>
      </w:r>
      <w:hyperlink r:id="rId5" w:history="1">
        <w:r w:rsidR="009A7ADF" w:rsidRPr="00733A29">
          <w:rPr>
            <w:rStyle w:val="Hyperlink"/>
          </w:rPr>
          <w:t>Werdegang ambitionierter Betriebe beleuchtet wird</w:t>
        </w:r>
      </w:hyperlink>
      <w:r>
        <w:t>. Entscheidend ist, wie sich gastronomische Betriebe langfristig mit Neuerungen etablieren, ohne ihre Ursprünge zu verlieren.</w:t>
      </w:r>
    </w:p>
    <w:p w14:paraId="491237AE" w14:textId="77777777" w:rsidR="009A7ADF" w:rsidRDefault="00835236">
      <w:r>
        <w:rPr>
          <w:b/>
        </w:rPr>
        <w:t>Digitale Utopien in der Gastroküche</w:t>
      </w:r>
    </w:p>
    <w:p w14:paraId="5AEEEF51" w14:textId="76DF9FED" w:rsidR="009A7ADF" w:rsidRDefault="00835236">
      <w:r>
        <w:lastRenderedPageBreak/>
        <w:t xml:space="preserve">Der technologische Fortschritt hat längst Einzug in die gastronomischen Betriebe gehalten – von ausgeklügelten Bestellsystemen bis hin zu mobilen Apps, die autonome Tischreservierungen zulassen. Ebenso bereichern modernste Küchengeräte die Abläufe, indem sie beispielsweise Garzeiten punktgenau steuern und Qualitätskontrollen automatisieren. Besonders augenfällig präsentieren sich </w:t>
      </w:r>
      <w:hyperlink r:id="rId6">
        <w:r w:rsidR="009A7ADF">
          <w:rPr>
            <w:color w:val="0000FF"/>
            <w:u w:val="single"/>
          </w:rPr>
          <w:t>Smart-Küchengeräte im Einsatz</w:t>
        </w:r>
      </w:hyperlink>
      <w:r>
        <w:t>, die nicht nur für höchst präzises Arbeiten sorgen, sondern mitunter auch Unterstützungsfunktionen bei der Umsetzung von neuen Rezeptkreationen bereitstellen. Die Herausforderung besteht darin, diese Technik sinnvoll in bestehende Abläufe zu integrieren und dabei weder Mitarbeitende noch Gäste zu überfordern. Gerade in stressigen Stoßzeiten zeigt sich, ob digitale Unterstützung tatsächlich Entlastung verschafft oder zusätzliche Komplexität erzeugt. Nicht zuletzt bedarf es einer vertieften Schulung des Personals, damit potenzielle Fehlerquellen ausgeschlossen werden können.</w:t>
      </w:r>
    </w:p>
    <w:p w14:paraId="1B5FDFDA" w14:textId="77777777" w:rsidR="009A7ADF" w:rsidRDefault="00835236">
      <w:r>
        <w:rPr>
          <w:b/>
        </w:rPr>
        <w:t>Überblick in tabellarischer Form</w:t>
      </w:r>
    </w:p>
    <w:p w14:paraId="481B777A" w14:textId="77777777" w:rsidR="009A7ADF" w:rsidRDefault="00835236">
      <w:r>
        <w:t>Die Palette an innovativen Konzepten und Strategien in der Gastronomie ist überaus umfangreich. Um unterschiedliche Bereiche gezielt gegenüberzustellen, bietet sich eine tabellarische Auflistung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3524"/>
        <w:gridCol w:w="3252"/>
      </w:tblGrid>
      <w:tr w:rsidR="009A7ADF" w14:paraId="37501080" w14:textId="77777777" w:rsidTr="00733A29">
        <w:tc>
          <w:tcPr>
            <w:tcW w:w="0" w:type="auto"/>
          </w:tcPr>
          <w:p w14:paraId="60C34F85" w14:textId="77777777" w:rsidR="009A7ADF" w:rsidRDefault="00835236">
            <w:r>
              <w:t>Innovationsbereich</w:t>
            </w:r>
          </w:p>
        </w:tc>
        <w:tc>
          <w:tcPr>
            <w:tcW w:w="0" w:type="auto"/>
          </w:tcPr>
          <w:p w14:paraId="3FCE971B" w14:textId="77777777" w:rsidR="009A7ADF" w:rsidRDefault="00835236">
            <w:r>
              <w:t>Beispielhafte Maßnahmen</w:t>
            </w:r>
          </w:p>
        </w:tc>
        <w:tc>
          <w:tcPr>
            <w:tcW w:w="0" w:type="auto"/>
          </w:tcPr>
          <w:p w14:paraId="7387AEF6" w14:textId="77777777" w:rsidR="009A7ADF" w:rsidRDefault="00835236">
            <w:r>
              <w:t>Mögliche Auswirkungen</w:t>
            </w:r>
          </w:p>
        </w:tc>
      </w:tr>
      <w:tr w:rsidR="009A7ADF" w14:paraId="62AA292B" w14:textId="77777777" w:rsidTr="00733A29">
        <w:tc>
          <w:tcPr>
            <w:tcW w:w="0" w:type="auto"/>
          </w:tcPr>
          <w:p w14:paraId="1595BF2B" w14:textId="77777777" w:rsidR="009A7ADF" w:rsidRDefault="00835236">
            <w:r>
              <w:t>Food-Kreation</w:t>
            </w:r>
          </w:p>
        </w:tc>
        <w:tc>
          <w:tcPr>
            <w:tcW w:w="0" w:type="auto"/>
          </w:tcPr>
          <w:p w14:paraId="2CD37EBB" w14:textId="77777777" w:rsidR="009A7ADF" w:rsidRDefault="00835236">
            <w:r>
              <w:t>Integration exotischer Zutaten, nachhaltige Menüplanung</w:t>
            </w:r>
          </w:p>
        </w:tc>
        <w:tc>
          <w:tcPr>
            <w:tcW w:w="0" w:type="auto"/>
          </w:tcPr>
          <w:p w14:paraId="48B1A8EB" w14:textId="77777777" w:rsidR="009A7ADF" w:rsidRDefault="00835236">
            <w:r>
              <w:t>Erweiterung der Zielgruppen, erhöhte Kundenloyalität</w:t>
            </w:r>
          </w:p>
        </w:tc>
      </w:tr>
      <w:tr w:rsidR="009A7ADF" w14:paraId="72EACF74" w14:textId="77777777" w:rsidTr="00733A29">
        <w:tc>
          <w:tcPr>
            <w:tcW w:w="0" w:type="auto"/>
          </w:tcPr>
          <w:p w14:paraId="34FA42BE" w14:textId="77777777" w:rsidR="009A7ADF" w:rsidRDefault="00835236">
            <w:r>
              <w:t>Technologie</w:t>
            </w:r>
          </w:p>
        </w:tc>
        <w:tc>
          <w:tcPr>
            <w:tcW w:w="0" w:type="auto"/>
          </w:tcPr>
          <w:p w14:paraId="7FDF50FB" w14:textId="77777777" w:rsidR="009A7ADF" w:rsidRDefault="00835236">
            <w:r>
              <w:t>Cloud-basierte Kassen, automatisierte Bestellung</w:t>
            </w:r>
          </w:p>
        </w:tc>
        <w:tc>
          <w:tcPr>
            <w:tcW w:w="0" w:type="auto"/>
          </w:tcPr>
          <w:p w14:paraId="3532A4D8" w14:textId="77777777" w:rsidR="009A7ADF" w:rsidRDefault="00835236">
            <w:r>
              <w:t>Effizienzsteigerung, weniger personelle Engpässe</w:t>
            </w:r>
          </w:p>
        </w:tc>
      </w:tr>
      <w:tr w:rsidR="009A7ADF" w14:paraId="19FC39D8" w14:textId="77777777" w:rsidTr="00733A29">
        <w:tc>
          <w:tcPr>
            <w:tcW w:w="0" w:type="auto"/>
          </w:tcPr>
          <w:p w14:paraId="35257EF1" w14:textId="77777777" w:rsidR="009A7ADF" w:rsidRDefault="00835236">
            <w:r>
              <w:t>Service und Ambiente</w:t>
            </w:r>
          </w:p>
        </w:tc>
        <w:tc>
          <w:tcPr>
            <w:tcW w:w="0" w:type="auto"/>
          </w:tcPr>
          <w:p w14:paraId="7A83A94E" w14:textId="77777777" w:rsidR="009A7ADF" w:rsidRDefault="00835236">
            <w:r>
              <w:t xml:space="preserve">Neue Interaktionsformen, </w:t>
            </w:r>
            <w:proofErr w:type="spellStart"/>
            <w:r>
              <w:t>Augmented</w:t>
            </w:r>
            <w:proofErr w:type="spellEnd"/>
            <w:r>
              <w:t>-Reality-Menüs</w:t>
            </w:r>
          </w:p>
        </w:tc>
        <w:tc>
          <w:tcPr>
            <w:tcW w:w="0" w:type="auto"/>
          </w:tcPr>
          <w:p w14:paraId="280319A9" w14:textId="77777777" w:rsidR="009A7ADF" w:rsidRDefault="00835236">
            <w:r>
              <w:t>Höhere Kundenbindung, gesteigerte Aufmerksamkeit</w:t>
            </w:r>
          </w:p>
        </w:tc>
      </w:tr>
      <w:tr w:rsidR="009A7ADF" w14:paraId="75112C39" w14:textId="77777777" w:rsidTr="00733A29">
        <w:tc>
          <w:tcPr>
            <w:tcW w:w="0" w:type="auto"/>
          </w:tcPr>
          <w:p w14:paraId="7C43D7F3" w14:textId="77777777" w:rsidR="009A7ADF" w:rsidRDefault="00835236">
            <w:r>
              <w:t>Marketing</w:t>
            </w:r>
          </w:p>
        </w:tc>
        <w:tc>
          <w:tcPr>
            <w:tcW w:w="0" w:type="auto"/>
          </w:tcPr>
          <w:p w14:paraId="51C0863A" w14:textId="77777777" w:rsidR="009A7ADF" w:rsidRDefault="00835236">
            <w:r>
              <w:t xml:space="preserve">Gezielte </w:t>
            </w:r>
            <w:proofErr w:type="spellStart"/>
            <w:r>
              <w:t>Social</w:t>
            </w:r>
            <w:proofErr w:type="spellEnd"/>
            <w:r>
              <w:t>-Media-Kampagnen, Influencer-Kooperationen</w:t>
            </w:r>
          </w:p>
        </w:tc>
        <w:tc>
          <w:tcPr>
            <w:tcW w:w="0" w:type="auto"/>
          </w:tcPr>
          <w:p w14:paraId="61EA5023" w14:textId="77777777" w:rsidR="009A7ADF" w:rsidRDefault="00835236">
            <w:r>
              <w:t>Stärkeres Markenimage, Ausbau der Reichweite</w:t>
            </w:r>
          </w:p>
        </w:tc>
      </w:tr>
    </w:tbl>
    <w:p w14:paraId="2EDA7AEC" w14:textId="77777777" w:rsidR="009A7ADF" w:rsidRDefault="00835236">
      <w:r>
        <w:t>Dabei bleibt stets im Fokus, dass jeder Innovationsbereich nur so erfolgreich sein kann, wie die einzelnen Maßnahmen aufeinander abgestimmt sind. Insbesondere die Synergieeffekte aus Produktentwicklung, technologischer Ausstattung und durchdachtem Marketing versprechen eine nachhaltige Wirksamkeit. Dennoch besteht stets das Risiko, dass der Innovationsgeist in purem Aktionismus mündet, ohne langfristige Perspektiven zu berücksichtigen.</w:t>
      </w:r>
    </w:p>
    <w:p w14:paraId="0EAA7F16" w14:textId="77777777" w:rsidR="009A7ADF" w:rsidRDefault="00835236">
      <w:r>
        <w:t xml:space="preserve">Von betriebswirtschaftlichen Betrachtungen bis hin zu kulinarischen Visionen prägt das Ausbalancieren verschiedenster Anforderungen den Alltag in qualitätsbewussten Gastronomiebetrieben. Zahlreiche Lokalbetreibende, die zunächst eine experimentelle Nische ausfüllten, werden heute sogar von klassischen Etablissements umworben – sei </w:t>
      </w:r>
      <w:r>
        <w:lastRenderedPageBreak/>
        <w:t>es für Kooperationen, um ein junges Publikum anzusprechen, oder für fachliche Austauschrunden über nachhaltige Beschaffungsmodelle. Verschiedene Experten sind überzeugt, dass sich dieses Zusammenspiel künftig noch intensivieren wird. Werden Innovationsebenen intelligent verknüpft, entsteht eine holistische Betriebsstrategie, die jeden Bereich stärkt. Dabei wird deutlich, wie enorm die Fähigkeit zur produktiven Weiterentwicklung die gesamte Branche verwandeln kann.</w:t>
      </w:r>
    </w:p>
    <w:p w14:paraId="3DDA302E" w14:textId="77777777" w:rsidR="009A7ADF" w:rsidRDefault="00835236">
      <w:r>
        <w:t>Neue Impulse sind also ein Motor, der Gastronomie zu mehr Vielfalt und Wettbewerbsfähigkeit verhilft. Gleichwohl bleibt der Prozess nie statisch; vielmehr handelt es sich um einen beständigen Kreislauf, in dem das Etablierte hinterfragt und mit frischen Ideen angereichert wird. Dieser beständige Wandel offenbart zwar Herausforderungen – von der Kostenfrage bis hin zum Erhalt traditioneller Wurzeln –, doch ermöglicht er es auch, zukunftsweisende Konzepte zu formen. Die Gastronomie wird dadurch facettenreicher und kann auf geänderte Bedürfnisse der Gesellschaft reagieren, ohne an Authentizität einzubüßen. Letztlich verdeutlicht sich, dass der Mix aus Tradition und Innovation eine attraktive Perspektive für eine lebendige Esskultur schafft.</w:t>
      </w:r>
    </w:p>
    <w:sectPr w:rsidR="009A7A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19"/>
    <w:rsid w:val="000D49FA"/>
    <w:rsid w:val="001139FD"/>
    <w:rsid w:val="00263933"/>
    <w:rsid w:val="005409A3"/>
    <w:rsid w:val="007231F4"/>
    <w:rsid w:val="00733A29"/>
    <w:rsid w:val="00835236"/>
    <w:rsid w:val="009A7ADF"/>
    <w:rsid w:val="009C6D6B"/>
    <w:rsid w:val="00A62E19"/>
    <w:rsid w:val="00B748F7"/>
    <w:rsid w:val="00C82DEE"/>
    <w:rsid w:val="00CE2247"/>
    <w:rsid w:val="00D16E9C"/>
    <w:rsid w:val="00E50C7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FD0D"/>
  <w15:chartTrackingRefBased/>
  <w15:docId w15:val="{2A7ED041-7175-6A47-9D47-9F8C9EA4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2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2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2E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2E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2E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2E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2E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2E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2E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2E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2E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2E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2E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2E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2E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2E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2E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2E19"/>
    <w:rPr>
      <w:rFonts w:eastAsiaTheme="majorEastAsia" w:cstheme="majorBidi"/>
      <w:color w:val="272727" w:themeColor="text1" w:themeTint="D8"/>
    </w:rPr>
  </w:style>
  <w:style w:type="paragraph" w:styleId="Titel">
    <w:name w:val="Title"/>
    <w:basedOn w:val="Standard"/>
    <w:next w:val="Standard"/>
    <w:link w:val="TitelZchn"/>
    <w:uiPriority w:val="10"/>
    <w:qFormat/>
    <w:rsid w:val="00A62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2E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2E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2E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2E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2E19"/>
    <w:rPr>
      <w:i/>
      <w:iCs/>
      <w:color w:val="404040" w:themeColor="text1" w:themeTint="BF"/>
    </w:rPr>
  </w:style>
  <w:style w:type="paragraph" w:styleId="Listenabsatz">
    <w:name w:val="List Paragraph"/>
    <w:basedOn w:val="Standard"/>
    <w:uiPriority w:val="34"/>
    <w:qFormat/>
    <w:rsid w:val="00A62E19"/>
    <w:pPr>
      <w:ind w:left="720"/>
      <w:contextualSpacing/>
    </w:pPr>
  </w:style>
  <w:style w:type="character" w:styleId="IntensiveHervorhebung">
    <w:name w:val="Intense Emphasis"/>
    <w:basedOn w:val="Absatz-Standardschriftart"/>
    <w:uiPriority w:val="21"/>
    <w:qFormat/>
    <w:rsid w:val="00A62E19"/>
    <w:rPr>
      <w:i/>
      <w:iCs/>
      <w:color w:val="0F4761" w:themeColor="accent1" w:themeShade="BF"/>
    </w:rPr>
  </w:style>
  <w:style w:type="paragraph" w:styleId="IntensivesZitat">
    <w:name w:val="Intense Quote"/>
    <w:basedOn w:val="Standard"/>
    <w:next w:val="Standard"/>
    <w:link w:val="IntensivesZitatZchn"/>
    <w:uiPriority w:val="30"/>
    <w:qFormat/>
    <w:rsid w:val="00A62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2E19"/>
    <w:rPr>
      <w:i/>
      <w:iCs/>
      <w:color w:val="0F4761" w:themeColor="accent1" w:themeShade="BF"/>
    </w:rPr>
  </w:style>
  <w:style w:type="character" w:styleId="IntensiverVerweis">
    <w:name w:val="Intense Reference"/>
    <w:basedOn w:val="Absatz-Standardschriftart"/>
    <w:uiPriority w:val="32"/>
    <w:qFormat/>
    <w:rsid w:val="00A62E19"/>
    <w:rPr>
      <w:b/>
      <w:bCs/>
      <w:smallCaps/>
      <w:color w:val="0F4761" w:themeColor="accent1" w:themeShade="BF"/>
      <w:spacing w:val="5"/>
    </w:rPr>
  </w:style>
  <w:style w:type="character" w:styleId="Hyperlink">
    <w:name w:val="Hyperlink"/>
    <w:basedOn w:val="Absatz-Standardschriftart"/>
    <w:uiPriority w:val="99"/>
    <w:unhideWhenUsed/>
    <w:rsid w:val="00733A29"/>
    <w:rPr>
      <w:color w:val="467886" w:themeColor="hyperlink"/>
      <w:u w:val="single"/>
    </w:rPr>
  </w:style>
  <w:style w:type="character" w:styleId="NichtaufgelsteErwhnung">
    <w:name w:val="Unresolved Mention"/>
    <w:basedOn w:val="Absatz-Standardschriftart"/>
    <w:uiPriority w:val="99"/>
    <w:semiHidden/>
    <w:unhideWhenUsed/>
    <w:rsid w:val="0073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amarkt.at/de/category/smart-home-haushaltsger%C3%A4te-2503.html" TargetMode="External"/><Relationship Id="rId5" Type="http://schemas.openxmlformats.org/officeDocument/2006/relationships/hyperlink" Target="https://erfolg.com/" TargetMode="External"/><Relationship Id="rId4" Type="http://schemas.openxmlformats.org/officeDocument/2006/relationships/hyperlink" Target="https://marktmeinungmensch.at/news/aufschwung-in-der-oesterreichischen-gastronomie-g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5908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Gunther Oswalder</cp:lastModifiedBy>
  <cp:revision>2</cp:revision>
  <dcterms:created xsi:type="dcterms:W3CDTF">2025-05-09T10:15:00Z</dcterms:created>
  <dcterms:modified xsi:type="dcterms:W3CDTF">2025-05-09T10:15:00Z</dcterms:modified>
  <cp:category/>
</cp:coreProperties>
</file>